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bookmarkStart w:id="0" w:name="_GoBack"/>
      <w:bookmarkEnd w:id="0"/>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r>
      <w:r w:rsidRPr="00E959D7">
        <w:rPr>
          <w:rFonts w:ascii="Garamond" w:eastAsia="Calibri" w:hAnsi="Garamond"/>
          <w:b/>
          <w:color w:val="auto"/>
          <w:sz w:val="22"/>
          <w:szCs w:val="22"/>
          <w:bdr w:val="none" w:sz="0" w:space="0" w:color="auto"/>
          <w:lang w:eastAsia="en-US"/>
        </w:rPr>
        <w:tab/>
        <w:t>6. számú melléklet</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t>NYILATKOZAT</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 xml:space="preserve">az Európai Unió működéséről szóló szerződés 107. és 108. cikkének a csekély összegű támogatásokra való alkalmazásáról szóló, 2013. december 18-i 1407/2013/EU bizottsági rendelet (HL L 352., 2013.12.24., 1. o.) szerinti </w:t>
      </w:r>
      <w:r w:rsidRPr="00E959D7">
        <w:rPr>
          <w:rFonts w:ascii="Garamond" w:eastAsia="Calibri" w:hAnsi="Garamond"/>
          <w:b/>
          <w:color w:val="auto"/>
          <w:sz w:val="22"/>
          <w:szCs w:val="22"/>
          <w:bdr w:val="none" w:sz="0" w:space="0" w:color="auto"/>
          <w:lang w:eastAsia="en-US"/>
        </w:rPr>
        <w:t>csekély összegű (de minimis) támogatás esetén</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b/>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b/>
          <w:color w:val="auto"/>
          <w:sz w:val="22"/>
          <w:szCs w:val="22"/>
          <w:bdr w:val="none" w:sz="0" w:space="0" w:color="auto"/>
          <w:lang w:eastAsia="en-US"/>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02583A" w:rsidRPr="00E959D7" w:rsidTr="00DA70F4">
        <w:trPr>
          <w:jc w:val="center"/>
        </w:trPr>
        <w:tc>
          <w:tcPr>
            <w:tcW w:w="9014" w:type="dxa"/>
            <w:gridSpan w:val="2"/>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1. Kedvezményezett adatai</w:t>
            </w:r>
          </w:p>
        </w:tc>
      </w:tr>
      <w:tr w:rsidR="0002583A" w:rsidRPr="00E959D7" w:rsidTr="00DA70F4">
        <w:trPr>
          <w:trHeight w:val="415"/>
          <w:jc w:val="center"/>
        </w:trPr>
        <w:tc>
          <w:tcPr>
            <w:tcW w:w="4904"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Név:</w:t>
            </w:r>
          </w:p>
        </w:tc>
        <w:tc>
          <w:tcPr>
            <w:tcW w:w="4110"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02583A" w:rsidRPr="00E959D7" w:rsidTr="00DA70F4">
        <w:trPr>
          <w:jc w:val="center"/>
        </w:trPr>
        <w:tc>
          <w:tcPr>
            <w:tcW w:w="4904"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Adószám:</w:t>
            </w:r>
          </w:p>
        </w:tc>
        <w:tc>
          <w:tcPr>
            <w:tcW w:w="4110"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02583A" w:rsidRPr="00E959D7" w:rsidTr="00DA70F4">
        <w:trPr>
          <w:trHeight w:val="427"/>
          <w:jc w:val="center"/>
        </w:trPr>
        <w:tc>
          <w:tcPr>
            <w:tcW w:w="4904"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Elérhetőség:</w:t>
            </w:r>
          </w:p>
        </w:tc>
        <w:tc>
          <w:tcPr>
            <w:tcW w:w="4110"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02583A" w:rsidRPr="00E959D7" w:rsidTr="00DA70F4">
        <w:trPr>
          <w:trHeight w:val="418"/>
          <w:jc w:val="center"/>
        </w:trPr>
        <w:tc>
          <w:tcPr>
            <w:tcW w:w="4904"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Aláírásra jogosult képviselő:</w:t>
            </w:r>
          </w:p>
        </w:tc>
        <w:tc>
          <w:tcPr>
            <w:tcW w:w="4110"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02583A" w:rsidRPr="00E959D7" w:rsidTr="00DA70F4">
        <w:trPr>
          <w:trHeight w:val="411"/>
          <w:jc w:val="center"/>
        </w:trPr>
        <w:tc>
          <w:tcPr>
            <w:tcW w:w="4904"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E-mail cím:</w:t>
            </w:r>
          </w:p>
        </w:tc>
        <w:tc>
          <w:tcPr>
            <w:tcW w:w="4110"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tc>
      </w:tr>
      <w:tr w:rsidR="0002583A" w:rsidRPr="00E959D7" w:rsidTr="00DA70F4">
        <w:trPr>
          <w:trHeight w:val="465"/>
          <w:jc w:val="center"/>
        </w:trPr>
        <w:tc>
          <w:tcPr>
            <w:tcW w:w="9014" w:type="dxa"/>
            <w:gridSpan w:val="2"/>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(jelölje X-szel )</w:t>
            </w: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Garamond" w:hAnsi="Garamond" w:cs="Calibri"/>
                <w:color w:val="auto"/>
                <w:sz w:val="22"/>
                <w:szCs w:val="22"/>
                <w:bdr w:val="none" w:sz="0" w:space="0" w:color="auto"/>
                <w:lang w:eastAsia="en-US"/>
              </w:rPr>
            </w:pPr>
            <w:r w:rsidRPr="00E959D7">
              <w:rPr>
                <w:rFonts w:ascii="Garamond" w:hAnsi="Garamond" w:cs="Calibri"/>
                <w:color w:val="auto"/>
                <w:sz w:val="22"/>
                <w:szCs w:val="22"/>
                <w:bdr w:val="none" w:sz="0" w:space="0" w:color="auto"/>
                <w:lang w:eastAsia="en-US"/>
              </w:rPr>
              <w:sym w:font="Webdings" w:char="F063"/>
            </w:r>
            <w:r w:rsidRPr="00E959D7">
              <w:rPr>
                <w:rFonts w:ascii="Garamond" w:hAnsi="Garamond" w:cs="Calibri"/>
                <w:color w:val="auto"/>
                <w:sz w:val="22"/>
                <w:szCs w:val="22"/>
                <w:bdr w:val="none" w:sz="0" w:space="0" w:color="auto"/>
                <w:lang w:eastAsia="en-US"/>
              </w:rPr>
              <w:t xml:space="preserve"> Egyesülés a folyamatban lévő és az azt megelőző két adóév során  </w:t>
            </w: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0" w:firstLine="0"/>
              <w:jc w:val="both"/>
              <w:rPr>
                <w:rFonts w:ascii="Garamond" w:hAnsi="Garamond" w:cs="Calibri"/>
                <w:color w:val="auto"/>
                <w:sz w:val="22"/>
                <w:szCs w:val="22"/>
                <w:bdr w:val="none" w:sz="0" w:space="0" w:color="auto"/>
                <w:lang w:eastAsia="en-US"/>
              </w:rPr>
            </w:pPr>
            <w:r w:rsidRPr="00E959D7">
              <w:rPr>
                <w:rFonts w:ascii="Garamond" w:hAnsi="Garamond" w:cs="Calibri"/>
                <w:color w:val="auto"/>
                <w:sz w:val="22"/>
                <w:szCs w:val="22"/>
                <w:bdr w:val="none" w:sz="0" w:space="0" w:color="auto"/>
                <w:lang w:eastAsia="en-US"/>
              </w:rPr>
              <w:sym w:font="Webdings" w:char="F063"/>
            </w:r>
            <w:r w:rsidRPr="00E959D7">
              <w:rPr>
                <w:rFonts w:ascii="Garamond" w:hAnsi="Garamond" w:cs="Calibri"/>
                <w:color w:val="auto"/>
                <w:sz w:val="22"/>
                <w:szCs w:val="22"/>
                <w:bdr w:val="none" w:sz="0" w:space="0" w:color="auto"/>
                <w:lang w:eastAsia="en-US"/>
              </w:rPr>
              <w:t xml:space="preserve"> Szétválás a folyamatban lévő és az azt megelőző két adóév során  </w:t>
            </w:r>
          </w:p>
        </w:tc>
      </w:tr>
      <w:tr w:rsidR="0002583A" w:rsidRPr="00E959D7" w:rsidTr="00DA70F4">
        <w:trPr>
          <w:trHeight w:val="557"/>
          <w:jc w:val="center"/>
        </w:trPr>
        <w:tc>
          <w:tcPr>
            <w:tcW w:w="4904"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Egyesülés, szétválás ideje: </w:t>
            </w:r>
          </w:p>
        </w:tc>
        <w:tc>
          <w:tcPr>
            <w:tcW w:w="4110"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p>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_________   ___________   _________</w:t>
            </w:r>
          </w:p>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   (év)             (hónap)           (nap)</w:t>
            </w:r>
          </w:p>
        </w:tc>
      </w:tr>
    </w:tbl>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Nyilatkozatom a 1407/2013/EU bizottsági rendelet 3. cikk (8)-(9) bekezdéseiben írtak betartásához szükséges adatokat is tartalmazza.</w:t>
      </w:r>
      <w:r w:rsidRPr="00E959D7">
        <w:rPr>
          <w:rFonts w:ascii="Garamond" w:eastAsia="Calibri" w:hAnsi="Garamond" w:cs="Calibri"/>
          <w:color w:val="auto"/>
          <w:sz w:val="22"/>
          <w:szCs w:val="22"/>
          <w:bdr w:val="none" w:sz="0" w:space="0" w:color="auto"/>
          <w:vertAlign w:val="superscript"/>
          <w:lang w:eastAsia="en-US"/>
        </w:rPr>
        <w:footnoteReference w:id="1"/>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sectPr w:rsidR="0002583A" w:rsidRPr="00E959D7" w:rsidSect="00DA70F4">
          <w:footerReference w:type="default" r:id="rId7"/>
          <w:pgSz w:w="11906" w:h="16838"/>
          <w:pgMar w:top="568"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02583A" w:rsidRPr="00E959D7" w:rsidTr="00DA70F4">
        <w:trPr>
          <w:trHeight w:val="385"/>
        </w:trPr>
        <w:tc>
          <w:tcPr>
            <w:tcW w:w="14046" w:type="dxa"/>
            <w:gridSpan w:val="11"/>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lastRenderedPageBreak/>
              <w:t>2. Csekély összegű támogatások</w:t>
            </w:r>
            <w:r w:rsidRPr="00E959D7">
              <w:rPr>
                <w:rFonts w:ascii="Garamond" w:eastAsia="Calibri" w:hAnsi="Garamond" w:cs="Calibri"/>
                <w:b/>
                <w:color w:val="auto"/>
                <w:sz w:val="22"/>
                <w:szCs w:val="22"/>
                <w:bdr w:val="none" w:sz="0" w:space="0" w:color="auto"/>
                <w:vertAlign w:val="superscript"/>
                <w:lang w:eastAsia="en-US"/>
              </w:rPr>
              <w:footnoteReference w:id="2"/>
            </w:r>
          </w:p>
        </w:tc>
      </w:tr>
      <w:tr w:rsidR="0002583A" w:rsidRPr="00E959D7" w:rsidTr="00DA70F4">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Sor-szám</w:t>
            </w:r>
          </w:p>
        </w:tc>
        <w:tc>
          <w:tcPr>
            <w:tcW w:w="1702"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jogalapja (bizottsági rendelet száma)</w:t>
            </w:r>
          </w:p>
        </w:tc>
        <w:tc>
          <w:tcPr>
            <w:tcW w:w="1558"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Támogatást nyújtó szervezet</w:t>
            </w:r>
          </w:p>
        </w:tc>
        <w:tc>
          <w:tcPr>
            <w:tcW w:w="1843"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kedvezménye-zettje és célja</w:t>
            </w:r>
          </w:p>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4"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 támogatást ellenszolgáltatás fejében végzett közúti kereske-delmi árufuva-rozáshoz vette igénybe?</w:t>
            </w:r>
          </w:p>
        </w:tc>
        <w:tc>
          <w:tcPr>
            <w:tcW w:w="1559"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Kérelem benyúj-tásának dátuma</w:t>
            </w:r>
            <w:r w:rsidRPr="00E959D7">
              <w:rPr>
                <w:rFonts w:ascii="Garamond" w:eastAsia="Calibri" w:hAnsi="Garamond" w:cs="Calibri"/>
                <w:b/>
                <w:color w:val="auto"/>
                <w:sz w:val="22"/>
                <w:szCs w:val="22"/>
                <w:bdr w:val="none" w:sz="0" w:space="0" w:color="auto"/>
                <w:vertAlign w:val="superscript"/>
                <w:lang w:eastAsia="en-US"/>
              </w:rPr>
              <w:footnoteReference w:id="3"/>
            </w:r>
          </w:p>
        </w:tc>
        <w:tc>
          <w:tcPr>
            <w:tcW w:w="1133"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Odaítélés dátuma</w:t>
            </w:r>
          </w:p>
        </w:tc>
        <w:tc>
          <w:tcPr>
            <w:tcW w:w="1560" w:type="dxa"/>
            <w:gridSpan w:val="2"/>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összege</w:t>
            </w:r>
          </w:p>
        </w:tc>
        <w:tc>
          <w:tcPr>
            <w:tcW w:w="2127" w:type="dxa"/>
            <w:gridSpan w:val="2"/>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bruttó támogatástartalma</w:t>
            </w:r>
            <w:r w:rsidRPr="00E959D7">
              <w:rPr>
                <w:rFonts w:ascii="Garamond" w:eastAsia="Calibri" w:hAnsi="Garamond" w:cs="Calibri"/>
                <w:b/>
                <w:color w:val="auto"/>
                <w:sz w:val="22"/>
                <w:szCs w:val="22"/>
                <w:bdr w:val="none" w:sz="0" w:space="0" w:color="auto"/>
                <w:vertAlign w:val="superscript"/>
                <w:lang w:eastAsia="en-US"/>
              </w:rPr>
              <w:footnoteReference w:id="4"/>
            </w:r>
          </w:p>
        </w:tc>
      </w:tr>
      <w:tr w:rsidR="0002583A" w:rsidRPr="00E959D7" w:rsidTr="00DA70F4">
        <w:tblPrEx>
          <w:tblCellMar>
            <w:left w:w="108" w:type="dxa"/>
            <w:right w:w="108" w:type="dxa"/>
          </w:tblCellMar>
          <w:tblLook w:val="01E0" w:firstRow="1" w:lastRow="1" w:firstColumn="1" w:lastColumn="1" w:noHBand="0" w:noVBand="0"/>
        </w:tblPrEx>
        <w:trPr>
          <w:trHeight w:val="2410"/>
        </w:trPr>
        <w:tc>
          <w:tcPr>
            <w:tcW w:w="720"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702"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558"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3"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4"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559"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133"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852" w:type="dxa"/>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708" w:type="dxa"/>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p>
        </w:tc>
        <w:tc>
          <w:tcPr>
            <w:tcW w:w="992" w:type="dxa"/>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1135" w:type="dxa"/>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p>
        </w:tc>
      </w:tr>
      <w:tr w:rsidR="0002583A" w:rsidRPr="00E959D7" w:rsidTr="00DA70F4">
        <w:tblPrEx>
          <w:tblCellMar>
            <w:left w:w="108" w:type="dxa"/>
            <w:right w:w="108" w:type="dxa"/>
          </w:tblCellMar>
          <w:tblLook w:val="01E0" w:firstRow="1" w:lastRow="1" w:firstColumn="1" w:lastColumn="1" w:noHBand="0" w:noVBand="0"/>
        </w:tblPrEx>
        <w:trPr>
          <w:trHeight w:val="1208"/>
        </w:trPr>
        <w:tc>
          <w:tcPr>
            <w:tcW w:w="72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4"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85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0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99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5"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r w:rsidR="0002583A" w:rsidRPr="00E959D7" w:rsidTr="00DA70F4">
        <w:tblPrEx>
          <w:tblCellMar>
            <w:left w:w="108" w:type="dxa"/>
            <w:right w:w="108" w:type="dxa"/>
          </w:tblCellMar>
          <w:tblLook w:val="01E0" w:firstRow="1" w:lastRow="1" w:firstColumn="1" w:lastColumn="1" w:noHBand="0" w:noVBand="0"/>
        </w:tblPrEx>
        <w:trPr>
          <w:trHeight w:val="1126"/>
        </w:trPr>
        <w:tc>
          <w:tcPr>
            <w:tcW w:w="72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4"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85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0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99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5"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r w:rsidR="0002583A" w:rsidRPr="00E959D7" w:rsidTr="00DA70F4">
        <w:tblPrEx>
          <w:tblCellMar>
            <w:left w:w="108" w:type="dxa"/>
            <w:right w:w="108" w:type="dxa"/>
          </w:tblCellMar>
          <w:tblLook w:val="01E0" w:firstRow="1" w:lastRow="1" w:firstColumn="1" w:lastColumn="1" w:noHBand="0" w:noVBand="0"/>
        </w:tblPrEx>
        <w:trPr>
          <w:trHeight w:val="1256"/>
        </w:trPr>
        <w:tc>
          <w:tcPr>
            <w:tcW w:w="72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4"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85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0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99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5"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bl>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sectPr w:rsidR="0002583A" w:rsidRPr="00E959D7" w:rsidSect="00DA70F4">
          <w:pgSz w:w="16838" w:h="11906" w:orient="landscape"/>
          <w:pgMar w:top="1418" w:right="1418" w:bottom="1418" w:left="1418" w:header="709" w:footer="709" w:gutter="0"/>
          <w:cols w:space="708"/>
          <w:docGrid w:linePitch="360"/>
        </w:sect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02583A" w:rsidRPr="00E959D7" w:rsidTr="00DA70F4">
        <w:trPr>
          <w:jc w:val="center"/>
        </w:trPr>
        <w:tc>
          <w:tcPr>
            <w:tcW w:w="9300" w:type="dxa"/>
            <w:gridSpan w:val="2"/>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3. Adatok az egy és ugyanazon vállalkozásokról</w:t>
            </w:r>
          </w:p>
        </w:tc>
      </w:tr>
      <w:tr w:rsidR="0002583A" w:rsidRPr="00E959D7" w:rsidDel="00CE53F6" w:rsidTr="00DA70F4">
        <w:trPr>
          <w:jc w:val="center"/>
        </w:trPr>
        <w:tc>
          <w:tcPr>
            <w:tcW w:w="9300" w:type="dxa"/>
            <w:gridSpan w:val="2"/>
            <w:shd w:val="clear" w:color="auto" w:fill="auto"/>
            <w:vAlign w:val="center"/>
          </w:tcPr>
          <w:p w:rsidR="0002583A" w:rsidRPr="00E959D7" w:rsidDel="00CE53F6"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Nyilatkozom, hogy az 1407/2013/EU bizottsági rendelet </w:t>
            </w:r>
            <w:r w:rsidRPr="00E959D7">
              <w:rPr>
                <w:rFonts w:ascii="Garamond" w:eastAsia="Calibri" w:hAnsi="Garamond" w:cs="Calibri"/>
                <w:bCs/>
                <w:color w:val="auto"/>
                <w:sz w:val="22"/>
                <w:szCs w:val="22"/>
                <w:bdr w:val="none" w:sz="0" w:space="0" w:color="auto"/>
                <w:lang w:eastAsia="en-US"/>
              </w:rPr>
              <w:t>2. cikk (2) bekezdése értelmében a </w:t>
            </w:r>
            <w:r w:rsidRPr="00E959D7">
              <w:rPr>
                <w:rFonts w:ascii="Garamond" w:eastAsia="Calibri" w:hAnsi="Garamond" w:cs="Calibri"/>
                <w:color w:val="auto"/>
                <w:sz w:val="22"/>
                <w:szCs w:val="22"/>
                <w:bdr w:val="none" w:sz="0" w:space="0" w:color="auto"/>
                <w:lang w:eastAsia="en-US"/>
              </w:rPr>
              <w:t>kedvezményezett</w:t>
            </w:r>
            <w:r w:rsidRPr="00E959D7">
              <w:rPr>
                <w:rFonts w:ascii="Garamond" w:eastAsia="Calibri" w:hAnsi="Garamond" w:cs="Calibri"/>
                <w:bCs/>
                <w:color w:val="auto"/>
                <w:sz w:val="22"/>
                <w:szCs w:val="22"/>
                <w:bdr w:val="none" w:sz="0" w:space="0" w:color="auto"/>
                <w:lang w:eastAsia="en-US"/>
              </w:rPr>
              <w:t xml:space="preserve"> az alábbi vállalkozásokkal minősül egy és ugyanazon vállalkozásnak.</w:t>
            </w:r>
          </w:p>
        </w:tc>
      </w:tr>
      <w:tr w:rsidR="0002583A" w:rsidRPr="00E959D7" w:rsidTr="00DA70F4">
        <w:trPr>
          <w:jc w:val="center"/>
        </w:trPr>
        <w:tc>
          <w:tcPr>
            <w:tcW w:w="5545"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Vállalkozás neve</w:t>
            </w:r>
          </w:p>
        </w:tc>
        <w:tc>
          <w:tcPr>
            <w:tcW w:w="3755" w:type="dxa"/>
            <w:shd w:val="clear" w:color="auto" w:fill="auto"/>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Adószáma</w:t>
            </w:r>
          </w:p>
        </w:tc>
      </w:tr>
      <w:tr w:rsidR="0002583A" w:rsidRPr="00E959D7" w:rsidTr="00DA70F4">
        <w:trPr>
          <w:trHeight w:val="563"/>
          <w:jc w:val="center"/>
        </w:trPr>
        <w:tc>
          <w:tcPr>
            <w:tcW w:w="554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02583A" w:rsidRPr="00E959D7" w:rsidTr="00DA70F4">
        <w:trPr>
          <w:trHeight w:val="563"/>
          <w:jc w:val="center"/>
        </w:trPr>
        <w:tc>
          <w:tcPr>
            <w:tcW w:w="554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02583A" w:rsidRPr="00E959D7" w:rsidTr="00DA70F4">
        <w:trPr>
          <w:trHeight w:val="563"/>
          <w:jc w:val="center"/>
        </w:trPr>
        <w:tc>
          <w:tcPr>
            <w:tcW w:w="554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02583A" w:rsidRPr="00E959D7" w:rsidTr="00DA70F4">
        <w:trPr>
          <w:trHeight w:val="563"/>
          <w:jc w:val="center"/>
        </w:trPr>
        <w:tc>
          <w:tcPr>
            <w:tcW w:w="554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02583A" w:rsidRPr="00E959D7" w:rsidTr="00DA70F4">
        <w:trPr>
          <w:trHeight w:val="563"/>
          <w:jc w:val="center"/>
        </w:trPr>
        <w:tc>
          <w:tcPr>
            <w:tcW w:w="554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r w:rsidR="0002583A" w:rsidRPr="00E959D7" w:rsidTr="00DA70F4">
        <w:trPr>
          <w:trHeight w:val="563"/>
          <w:jc w:val="center"/>
        </w:trPr>
        <w:tc>
          <w:tcPr>
            <w:tcW w:w="554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c>
          <w:tcPr>
            <w:tcW w:w="3755" w:type="dxa"/>
            <w:shd w:val="clear" w:color="auto" w:fill="auto"/>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cs="Calibri"/>
                <w:color w:val="auto"/>
                <w:sz w:val="22"/>
                <w:szCs w:val="22"/>
                <w:bdr w:val="none" w:sz="0" w:space="0" w:color="auto"/>
                <w:lang w:eastAsia="en-US"/>
              </w:rPr>
            </w:pPr>
          </w:p>
        </w:tc>
      </w:tr>
    </w:tbl>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E959D7">
        <w:rPr>
          <w:rFonts w:ascii="Garamond" w:eastAsia="Calibri" w:hAnsi="Garamond" w:cs="Calibri"/>
          <w:bCs/>
          <w:color w:val="auto"/>
          <w:sz w:val="22"/>
          <w:szCs w:val="22"/>
          <w:bdr w:val="none" w:sz="0" w:space="0" w:color="auto"/>
          <w:lang w:eastAsia="en-US"/>
        </w:rPr>
        <w:t xml:space="preserve"> </w:t>
      </w:r>
      <w:r w:rsidRPr="00E959D7">
        <w:rPr>
          <w:rFonts w:ascii="Garamond" w:eastAsia="Calibri" w:hAnsi="Garamond" w:cs="Calibri"/>
          <w:color w:val="auto"/>
          <w:sz w:val="22"/>
          <w:szCs w:val="22"/>
          <w:bdr w:val="none" w:sz="0" w:space="0" w:color="auto"/>
          <w:lang w:eastAsia="en-US"/>
        </w:rPr>
        <w:t>vonatkozásában az alábbiakról nyilatkozom.</w:t>
      </w:r>
      <w:r w:rsidRPr="00E959D7">
        <w:rPr>
          <w:rFonts w:ascii="Garamond" w:eastAsia="Calibri" w:hAnsi="Garamond" w:cs="Calibri"/>
          <w:color w:val="auto"/>
          <w:sz w:val="22"/>
          <w:szCs w:val="22"/>
          <w:bdr w:val="none" w:sz="0" w:space="0" w:color="auto"/>
          <w:vertAlign w:val="superscript"/>
          <w:lang w:eastAsia="en-US"/>
        </w:rPr>
        <w:footnoteReference w:id="5"/>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br w:type="page"/>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sectPr w:rsidR="0002583A" w:rsidRPr="00E959D7" w:rsidSect="00DA70F4">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02583A" w:rsidRPr="00E959D7" w:rsidTr="00DA70F4">
        <w:trPr>
          <w:trHeight w:val="777"/>
        </w:trPr>
        <w:tc>
          <w:tcPr>
            <w:tcW w:w="14753" w:type="dxa"/>
            <w:gridSpan w:val="11"/>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4. Adatok az azonos elszámolható költségek vagy a csekély összegű támogatással azonos célú kockázatfinanszírozási célú intézkedés vonatkozásában nyújtott állami támogatásokra</w:t>
            </w:r>
          </w:p>
        </w:tc>
      </w:tr>
      <w:tr w:rsidR="0002583A" w:rsidRPr="00E959D7" w:rsidTr="00DA70F4">
        <w:trPr>
          <w:trHeight w:val="3392"/>
        </w:trPr>
        <w:tc>
          <w:tcPr>
            <w:tcW w:w="722"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Sor-szám</w:t>
            </w:r>
          </w:p>
        </w:tc>
        <w:tc>
          <w:tcPr>
            <w:tcW w:w="1276"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 jogalapja (uniós állami támogatási szabály)</w:t>
            </w:r>
          </w:p>
        </w:tc>
        <w:tc>
          <w:tcPr>
            <w:tcW w:w="1559"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Támogatást nyújtó szervezet</w:t>
            </w:r>
          </w:p>
        </w:tc>
        <w:tc>
          <w:tcPr>
            <w:tcW w:w="1843"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Támogatási kategória</w:t>
            </w:r>
          </w:p>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(pl. regionális beruházási támogatás)</w:t>
            </w:r>
          </w:p>
        </w:tc>
        <w:tc>
          <w:tcPr>
            <w:tcW w:w="1701"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Kérelem benyújtásának dátuma</w:t>
            </w:r>
            <w:r w:rsidRPr="00E959D7">
              <w:rPr>
                <w:rFonts w:ascii="Garamond" w:eastAsia="Calibri" w:hAnsi="Garamond" w:cs="Calibri"/>
                <w:b/>
                <w:color w:val="auto"/>
                <w:sz w:val="22"/>
                <w:szCs w:val="22"/>
                <w:bdr w:val="none" w:sz="0" w:space="0" w:color="auto"/>
                <w:vertAlign w:val="superscript"/>
                <w:lang w:eastAsia="en-US"/>
              </w:rPr>
              <w:footnoteReference w:id="6"/>
            </w:r>
          </w:p>
        </w:tc>
        <w:tc>
          <w:tcPr>
            <w:tcW w:w="1843" w:type="dxa"/>
            <w:vMerge w:val="restart"/>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Odaítélés dátuma</w:t>
            </w:r>
          </w:p>
        </w:tc>
        <w:tc>
          <w:tcPr>
            <w:tcW w:w="2266" w:type="dxa"/>
            <w:gridSpan w:val="2"/>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Azonos elszámolható költségek teljes összege jelentértéken</w:t>
            </w:r>
          </w:p>
        </w:tc>
        <w:tc>
          <w:tcPr>
            <w:tcW w:w="2125" w:type="dxa"/>
            <w:gridSpan w:val="2"/>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Azonos kockázatfinanszíro-zási célú intézkedés vonatkozásában nyújtott állami támogatás bruttó támogatástartalma / azonos elszámolható költségek vonatkozásában nyújtott állami támogatás bruttó támogatástartalma</w:t>
            </w:r>
            <w:r w:rsidRPr="00E959D7">
              <w:rPr>
                <w:rFonts w:ascii="Garamond" w:eastAsia="Calibri" w:hAnsi="Garamond" w:cs="Calibri"/>
                <w:b/>
                <w:color w:val="auto"/>
                <w:sz w:val="22"/>
                <w:szCs w:val="22"/>
                <w:bdr w:val="none" w:sz="0" w:space="0" w:color="auto"/>
                <w:vertAlign w:val="superscript"/>
                <w:lang w:eastAsia="en-US"/>
              </w:rPr>
              <w:footnoteReference w:id="7"/>
            </w:r>
          </w:p>
        </w:tc>
        <w:tc>
          <w:tcPr>
            <w:tcW w:w="1418" w:type="dxa"/>
            <w:vMerge w:val="restart"/>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Maximális támogatási intezitás (</w:t>
            </w:r>
            <w:r w:rsidRPr="00E959D7">
              <w:rPr>
                <w:rFonts w:ascii="Garamond" w:eastAsia="Calibri" w:hAnsi="Garamond" w:cs="Calibri"/>
                <w:b/>
                <w:i/>
                <w:color w:val="auto"/>
                <w:sz w:val="22"/>
                <w:szCs w:val="22"/>
                <w:bdr w:val="none" w:sz="0" w:space="0" w:color="auto"/>
                <w:lang w:eastAsia="en-US"/>
              </w:rPr>
              <w:t>%</w:t>
            </w:r>
            <w:r w:rsidRPr="00E959D7">
              <w:rPr>
                <w:rFonts w:ascii="Garamond" w:eastAsia="Calibri" w:hAnsi="Garamond" w:cs="Calibri"/>
                <w:b/>
                <w:color w:val="auto"/>
                <w:sz w:val="22"/>
                <w:szCs w:val="22"/>
                <w:bdr w:val="none" w:sz="0" w:space="0" w:color="auto"/>
                <w:lang w:eastAsia="en-US"/>
              </w:rPr>
              <w:t>) vagy maximális támogatási összeg</w:t>
            </w:r>
          </w:p>
        </w:tc>
      </w:tr>
      <w:tr w:rsidR="0002583A" w:rsidRPr="00E959D7" w:rsidTr="00DA70F4">
        <w:trPr>
          <w:trHeight w:val="77"/>
        </w:trPr>
        <w:tc>
          <w:tcPr>
            <w:tcW w:w="722"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276"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559"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3"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701"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843" w:type="dxa"/>
            <w:vMerge/>
            <w:vAlign w:val="center"/>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c>
          <w:tcPr>
            <w:tcW w:w="113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1136"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p>
        </w:tc>
        <w:tc>
          <w:tcPr>
            <w:tcW w:w="1415"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Forint</w:t>
            </w:r>
          </w:p>
        </w:tc>
        <w:tc>
          <w:tcPr>
            <w:tcW w:w="71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r w:rsidRPr="00E959D7">
              <w:rPr>
                <w:rFonts w:ascii="Garamond" w:eastAsia="Calibri" w:hAnsi="Garamond" w:cs="Calibri"/>
                <w:b/>
                <w:color w:val="auto"/>
                <w:sz w:val="22"/>
                <w:szCs w:val="22"/>
                <w:bdr w:val="none" w:sz="0" w:space="0" w:color="auto"/>
                <w:lang w:eastAsia="en-US"/>
              </w:rPr>
              <w:t>Euró</w:t>
            </w:r>
            <w:r w:rsidRPr="00E959D7">
              <w:rPr>
                <w:rFonts w:ascii="Garamond" w:eastAsia="Calibri" w:hAnsi="Garamond" w:cs="Calibri"/>
                <w:b/>
                <w:color w:val="auto"/>
                <w:sz w:val="22"/>
                <w:szCs w:val="22"/>
                <w:bdr w:val="none" w:sz="0" w:space="0" w:color="auto"/>
                <w:vertAlign w:val="superscript"/>
                <w:lang w:eastAsia="en-US"/>
              </w:rPr>
              <w:footnoteReference w:id="8"/>
            </w:r>
          </w:p>
        </w:tc>
        <w:tc>
          <w:tcPr>
            <w:tcW w:w="1418" w:type="dxa"/>
            <w:vMerge/>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b/>
                <w:color w:val="auto"/>
                <w:sz w:val="22"/>
                <w:szCs w:val="22"/>
                <w:bdr w:val="none" w:sz="0" w:space="0" w:color="auto"/>
                <w:lang w:eastAsia="en-US"/>
              </w:rPr>
            </w:pPr>
          </w:p>
        </w:tc>
      </w:tr>
      <w:tr w:rsidR="0002583A" w:rsidRPr="00E959D7" w:rsidTr="00DA70F4">
        <w:trPr>
          <w:trHeight w:val="1230"/>
        </w:trPr>
        <w:tc>
          <w:tcPr>
            <w:tcW w:w="72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276"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1"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6"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5"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1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r w:rsidR="0002583A" w:rsidRPr="00E959D7" w:rsidTr="00DA70F4">
        <w:trPr>
          <w:trHeight w:val="1269"/>
        </w:trPr>
        <w:tc>
          <w:tcPr>
            <w:tcW w:w="722"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276"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559"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701"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843"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136"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5"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710"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c>
          <w:tcPr>
            <w:tcW w:w="1418" w:type="dxa"/>
          </w:tcPr>
          <w:p w:rsidR="0002583A" w:rsidRPr="00E959D7" w:rsidRDefault="0002583A" w:rsidP="00DA70F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cs="Calibri"/>
                <w:color w:val="auto"/>
                <w:sz w:val="22"/>
                <w:szCs w:val="22"/>
                <w:bdr w:val="none" w:sz="0" w:space="0" w:color="auto"/>
                <w:lang w:eastAsia="en-US"/>
              </w:rPr>
            </w:pPr>
          </w:p>
        </w:tc>
      </w:tr>
    </w:tbl>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sectPr w:rsidR="0002583A" w:rsidRPr="00E959D7" w:rsidSect="00DA70F4">
          <w:pgSz w:w="16838" w:h="11906" w:orient="landscape"/>
          <w:pgMar w:top="1418" w:right="1418" w:bottom="1418" w:left="1418" w:header="709" w:footer="709" w:gutter="0"/>
          <w:cols w:space="708"/>
          <w:docGrid w:linePitch="360"/>
        </w:sect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Nyilatkozom, hogy a kedvezményezett aláírásra jogosult képviselője vagyok, és a fent megadott adatok helyesek.</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Hozzájárulok ahhoz, hogy a fenti adatokat a tárgyban illetékes szerveknek az adatkezelő átadja.</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Tudomásul veszem, hogy amennyiben a nyilatkozat kelte és a támogatás odaítélése</w:t>
      </w:r>
      <w:r w:rsidRPr="00E959D7">
        <w:rPr>
          <w:rFonts w:ascii="Garamond" w:eastAsia="Calibri" w:hAnsi="Garamond" w:cs="Calibri"/>
          <w:color w:val="auto"/>
          <w:sz w:val="22"/>
          <w:szCs w:val="22"/>
          <w:bdr w:val="none" w:sz="0" w:space="0" w:color="auto"/>
          <w:vertAlign w:val="superscript"/>
          <w:lang w:eastAsia="en-US"/>
        </w:rPr>
        <w:footnoteReference w:id="9"/>
      </w:r>
      <w:r w:rsidRPr="00E959D7">
        <w:rPr>
          <w:rFonts w:ascii="Garamond" w:eastAsia="Calibri" w:hAnsi="Garamond" w:cs="Calibri"/>
          <w:color w:val="auto"/>
          <w:sz w:val="22"/>
          <w:szCs w:val="22"/>
          <w:bdr w:val="none" w:sz="0" w:space="0" w:color="auto"/>
          <w:lang w:eastAsia="en-US"/>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Kelt:  </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t xml:space="preserve">                   ……………………………..</w:t>
      </w:r>
      <w:r w:rsidRPr="00E959D7">
        <w:rPr>
          <w:rFonts w:ascii="Garamond" w:eastAsia="Calibri" w:hAnsi="Garamond" w:cs="Calibri"/>
          <w:color w:val="auto"/>
          <w:sz w:val="22"/>
          <w:szCs w:val="22"/>
          <w:bdr w:val="none" w:sz="0" w:space="0" w:color="auto"/>
          <w:lang w:eastAsia="en-US"/>
        </w:rPr>
        <w:tab/>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r>
      <w:r w:rsidRPr="00E959D7">
        <w:rPr>
          <w:rFonts w:ascii="Garamond" w:eastAsia="Calibri" w:hAnsi="Garamond" w:cs="Calibri"/>
          <w:color w:val="auto"/>
          <w:sz w:val="22"/>
          <w:szCs w:val="22"/>
          <w:bdr w:val="none" w:sz="0" w:space="0" w:color="auto"/>
          <w:lang w:eastAsia="en-US"/>
        </w:rPr>
        <w:tab/>
        <w:t xml:space="preserve">         </w:t>
      </w:r>
      <w:r w:rsidRPr="00E959D7">
        <w:rPr>
          <w:rFonts w:ascii="Garamond" w:eastAsia="Calibri" w:hAnsi="Garamond" w:cs="Calibri"/>
          <w:color w:val="auto"/>
          <w:sz w:val="22"/>
          <w:szCs w:val="22"/>
          <w:bdr w:val="none" w:sz="0" w:space="0" w:color="auto"/>
          <w:lang w:eastAsia="en-US"/>
        </w:rPr>
        <w:tab/>
        <w:t xml:space="preserve">       Kedvezményezett</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48"/>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        (aláírás, pecsét)</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aramond" w:eastAsia="Calibri" w:hAnsi="Garamond" w:cs="Calibri"/>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br w:type="page"/>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r w:rsidRPr="00E959D7">
        <w:rPr>
          <w:rFonts w:ascii="Garamond" w:eastAsia="Calibri" w:hAnsi="Garamond"/>
          <w:b/>
          <w:color w:val="auto"/>
          <w:sz w:val="22"/>
          <w:szCs w:val="22"/>
          <w:bdr w:val="none" w:sz="0" w:space="0" w:color="auto"/>
          <w:lang w:eastAsia="en-US"/>
        </w:rPr>
        <w:t>Útmutató</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eastAsia="Calibri" w:hAnsi="Garamond"/>
          <w:b/>
          <w:color w:val="auto"/>
          <w:sz w:val="22"/>
          <w:szCs w:val="22"/>
          <w:bdr w:val="none" w:sz="0" w:space="0" w:color="auto"/>
          <w:lang w:eastAsia="en-US"/>
        </w:rPr>
      </w:pP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rPr>
          <w:rFonts w:ascii="Garamond" w:eastAsia="Calibri" w:hAnsi="Garamond" w:cs="Calibri"/>
          <w:i/>
          <w:color w:val="auto"/>
          <w:sz w:val="22"/>
          <w:szCs w:val="22"/>
          <w:bdr w:val="none" w:sz="0" w:space="0" w:color="auto"/>
          <w:lang w:eastAsia="en-US"/>
        </w:rPr>
      </w:pPr>
      <w:r w:rsidRPr="00E959D7">
        <w:rPr>
          <w:rFonts w:ascii="Garamond" w:eastAsia="Calibri" w:hAnsi="Garamond" w:cs="Arial"/>
          <w:color w:val="auto"/>
          <w:sz w:val="22"/>
          <w:szCs w:val="22"/>
          <w:bdr w:val="none" w:sz="0" w:space="0" w:color="auto"/>
        </w:rPr>
        <w:t>Az 1407/2013/EU bizottsági rendelet</w:t>
      </w:r>
      <w:r w:rsidRPr="00E959D7">
        <w:rPr>
          <w:rFonts w:ascii="Garamond" w:eastAsia="Calibri" w:hAnsi="Garamond" w:cs="Arial"/>
          <w:color w:val="auto"/>
          <w:sz w:val="22"/>
          <w:szCs w:val="22"/>
          <w:bdr w:val="none" w:sz="0" w:space="0" w:color="auto"/>
          <w:vertAlign w:val="superscript"/>
        </w:rPr>
        <w:footnoteReference w:id="10"/>
      </w:r>
      <w:r w:rsidRPr="00E959D7">
        <w:rPr>
          <w:rFonts w:ascii="Garamond" w:eastAsia="Calibri" w:hAnsi="Garamond" w:cs="Arial"/>
          <w:color w:val="auto"/>
          <w:sz w:val="22"/>
          <w:szCs w:val="22"/>
          <w:bdr w:val="none" w:sz="0" w:space="0" w:color="auto"/>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E959D7">
        <w:rPr>
          <w:rFonts w:ascii="Garamond" w:eastAsia="Calibri" w:hAnsi="Garamond" w:cs="Arial"/>
          <w:b/>
          <w:color w:val="auto"/>
          <w:sz w:val="22"/>
          <w:szCs w:val="22"/>
          <w:bdr w:val="none" w:sz="0" w:space="0" w:color="auto"/>
        </w:rPr>
        <w:t>200.000 eurónak</w:t>
      </w:r>
      <w:r w:rsidRPr="00E959D7">
        <w:rPr>
          <w:rFonts w:ascii="Garamond" w:eastAsia="Calibri" w:hAnsi="Garamond" w:cs="Arial"/>
          <w:color w:val="auto"/>
          <w:sz w:val="22"/>
          <w:szCs w:val="22"/>
          <w:bdr w:val="none" w:sz="0" w:space="0" w:color="auto"/>
        </w:rPr>
        <w:t xml:space="preserve">, közúti kereskedelmi árufuvarozást ellenszolgáltatás fejében végző vállalkozások esetében a </w:t>
      </w:r>
      <w:r w:rsidRPr="00E959D7">
        <w:rPr>
          <w:rFonts w:ascii="Garamond" w:eastAsia="Calibri" w:hAnsi="Garamond" w:cs="Arial"/>
          <w:b/>
          <w:color w:val="auto"/>
          <w:sz w:val="22"/>
          <w:szCs w:val="22"/>
          <w:bdr w:val="none" w:sz="0" w:space="0" w:color="auto"/>
        </w:rPr>
        <w:t>100.000 eurónak</w:t>
      </w:r>
      <w:r w:rsidRPr="00E959D7">
        <w:rPr>
          <w:rFonts w:ascii="Garamond" w:eastAsia="Calibri" w:hAnsi="Garamond" w:cs="Arial"/>
          <w:color w:val="auto"/>
          <w:sz w:val="22"/>
          <w:szCs w:val="22"/>
          <w:bdr w:val="none" w:sz="0" w:space="0" w:color="auto"/>
        </w:rPr>
        <w:t xml:space="preserve"> megfelelő forintösszeget</w:t>
      </w:r>
      <w:r w:rsidRPr="00E959D7">
        <w:rPr>
          <w:rFonts w:ascii="Garamond" w:eastAsia="Calibri" w:hAnsi="Garamond" w:cs="Arial"/>
          <w:color w:val="auto"/>
          <w:sz w:val="22"/>
          <w:szCs w:val="22"/>
          <w:bdr w:val="none" w:sz="0" w:space="0" w:color="auto"/>
          <w:vertAlign w:val="superscript"/>
        </w:rPr>
        <w:footnoteReference w:id="11"/>
      </w:r>
      <w:r w:rsidRPr="00E959D7">
        <w:rPr>
          <w:rFonts w:ascii="Garamond" w:eastAsia="Calibri" w:hAnsi="Garamond" w:cs="Arial"/>
          <w:color w:val="auto"/>
          <w:sz w:val="22"/>
          <w:szCs w:val="22"/>
          <w:bdr w:val="none" w:sz="0" w:space="0" w:color="auto"/>
        </w:rPr>
        <w:t>, figyelemmel az egyesülésre valamint a szétválásra vonatkozó szabályokra</w:t>
      </w:r>
      <w:r w:rsidRPr="00E959D7">
        <w:rPr>
          <w:rFonts w:ascii="Garamond" w:eastAsia="Calibri" w:hAnsi="Garamond" w:cs="Arial"/>
          <w:color w:val="auto"/>
          <w:sz w:val="22"/>
          <w:szCs w:val="22"/>
          <w:bdr w:val="none" w:sz="0" w:space="0" w:color="auto"/>
          <w:vertAlign w:val="superscript"/>
        </w:rPr>
        <w:footnoteReference w:id="12"/>
      </w:r>
      <w:r w:rsidRPr="00E959D7">
        <w:rPr>
          <w:rFonts w:ascii="Garamond" w:eastAsia="Calibri" w:hAnsi="Garamond" w:cs="Arial"/>
          <w:color w:val="auto"/>
          <w:sz w:val="22"/>
          <w:szCs w:val="22"/>
          <w:bdr w:val="none" w:sz="0" w:space="0" w:color="auto"/>
        </w:rPr>
        <w:t xml:space="preserve"> is.</w:t>
      </w:r>
      <w:r w:rsidRPr="00E959D7">
        <w:rPr>
          <w:rFonts w:ascii="Garamond" w:eastAsia="Calibri" w:hAnsi="Garamond" w:cs="Calibri"/>
          <w:i/>
          <w:color w:val="auto"/>
          <w:sz w:val="22"/>
          <w:szCs w:val="22"/>
          <w:bdr w:val="none" w:sz="0" w:space="0" w:color="auto"/>
          <w:lang w:eastAsia="en-US"/>
        </w:rPr>
        <w:t xml:space="preserve"> </w:t>
      </w: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Mi a bruttó támogatástartalom?</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A több részletben, éven átnyúlóan fizetendő támogatást az odaítélése időpontjában érvényes értékre kell diszkontálni az odaítélés idején érvényes referencia ráta alkalmazásával.</w:t>
      </w: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Milyen esetekben tekintendő a támogatást igénylő egy másik vállalkozással egy és ugyanazon vállalkozásnak?</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másikban a részvényesek vagy tagok </w:t>
      </w:r>
      <w:r w:rsidRPr="00E959D7">
        <w:rPr>
          <w:rFonts w:ascii="Garamond" w:eastAsia="Calibri" w:hAnsi="Garamond" w:cs="Calibri"/>
          <w:b/>
          <w:color w:val="auto"/>
          <w:sz w:val="22"/>
          <w:szCs w:val="22"/>
          <w:bdr w:val="none" w:sz="0" w:space="0" w:color="auto"/>
          <w:lang w:eastAsia="en-US"/>
        </w:rPr>
        <w:t>szavazati jogának</w:t>
      </w:r>
      <w:r w:rsidRPr="00E959D7">
        <w:rPr>
          <w:rFonts w:ascii="Garamond" w:eastAsia="Calibri" w:hAnsi="Garamond" w:cs="Calibri"/>
          <w:color w:val="auto"/>
          <w:sz w:val="22"/>
          <w:szCs w:val="22"/>
          <w:bdr w:val="none" w:sz="0" w:space="0" w:color="auto"/>
          <w:lang w:eastAsia="en-US"/>
        </w:rPr>
        <w:t xml:space="preserve"> többségével rendelkezik, vagy</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 igazgatási, irányítási vagy felügyeleti </w:t>
      </w:r>
      <w:r w:rsidRPr="00E959D7">
        <w:rPr>
          <w:rFonts w:ascii="Garamond" w:eastAsia="Calibri" w:hAnsi="Garamond" w:cs="Calibri"/>
          <w:b/>
          <w:color w:val="auto"/>
          <w:sz w:val="22"/>
          <w:szCs w:val="22"/>
          <w:bdr w:val="none" w:sz="0" w:space="0" w:color="auto"/>
          <w:lang w:eastAsia="en-US"/>
        </w:rPr>
        <w:t>testülete tagjainak</w:t>
      </w:r>
      <w:r w:rsidRPr="00E959D7">
        <w:rPr>
          <w:rFonts w:ascii="Garamond" w:eastAsia="Calibri" w:hAnsi="Garamond" w:cs="Calibri"/>
          <w:color w:val="auto"/>
          <w:sz w:val="22"/>
          <w:szCs w:val="22"/>
          <w:bdr w:val="none" w:sz="0" w:space="0" w:color="auto"/>
          <w:lang w:eastAsia="en-US"/>
        </w:rPr>
        <w:t xml:space="preserve"> többségét jogosult kinevezni vagy elmozdítani, vagy</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 felett </w:t>
      </w:r>
      <w:r w:rsidRPr="00E959D7">
        <w:rPr>
          <w:rFonts w:ascii="Garamond" w:eastAsia="Calibri" w:hAnsi="Garamond" w:cs="Calibri"/>
          <w:b/>
          <w:color w:val="auto"/>
          <w:sz w:val="22"/>
          <w:szCs w:val="22"/>
          <w:bdr w:val="none" w:sz="0" w:space="0" w:color="auto"/>
          <w:lang w:eastAsia="en-US"/>
        </w:rPr>
        <w:t>szerződés</w:t>
      </w:r>
      <w:r w:rsidRPr="00E959D7">
        <w:rPr>
          <w:rFonts w:ascii="Garamond" w:eastAsia="Calibri" w:hAnsi="Garamond" w:cs="Calibri"/>
          <w:color w:val="auto"/>
          <w:sz w:val="22"/>
          <w:szCs w:val="22"/>
          <w:bdr w:val="none" w:sz="0" w:space="0" w:color="auto"/>
          <w:lang w:eastAsia="en-US"/>
        </w:rPr>
        <w:t>, vagy alapító okiratban vagy társasági szerződés alapján meghatározó befolyást gyakorolhat, vagy</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Egyik a másik részvényese vagy tagja, a többi részvényessel vagy taggal kötött megállapodás alapján </w:t>
      </w:r>
      <w:r w:rsidRPr="00E959D7">
        <w:rPr>
          <w:rFonts w:ascii="Garamond" w:eastAsia="Calibri" w:hAnsi="Garamond" w:cs="Calibri"/>
          <w:b/>
          <w:color w:val="auto"/>
          <w:sz w:val="22"/>
          <w:szCs w:val="22"/>
          <w:bdr w:val="none" w:sz="0" w:space="0" w:color="auto"/>
          <w:lang w:eastAsia="en-US"/>
        </w:rPr>
        <w:t>egyedül birtokolja</w:t>
      </w:r>
      <w:r w:rsidRPr="00E959D7">
        <w:rPr>
          <w:rFonts w:ascii="Garamond" w:eastAsia="Calibri" w:hAnsi="Garamond" w:cs="Calibri"/>
          <w:color w:val="auto"/>
          <w:sz w:val="22"/>
          <w:szCs w:val="22"/>
          <w:bdr w:val="none" w:sz="0" w:space="0" w:color="auto"/>
          <w:lang w:eastAsia="en-US"/>
        </w:rPr>
        <w:t xml:space="preserve"> a szavazati jogok többségét</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color w:val="auto"/>
          <w:sz w:val="22"/>
          <w:szCs w:val="22"/>
          <w:bdr w:val="none" w:sz="0" w:space="0" w:color="auto"/>
          <w:lang w:eastAsia="en-US"/>
        </w:rPr>
      </w:pPr>
      <w:r w:rsidRPr="00E959D7">
        <w:rPr>
          <w:rFonts w:ascii="Garamond" w:eastAsia="Calibri" w:hAnsi="Garamond" w:cs="Calibri"/>
          <w:color w:val="auto"/>
          <w:sz w:val="22"/>
          <w:szCs w:val="22"/>
          <w:bdr w:val="none" w:sz="0" w:space="0" w:color="auto"/>
          <w:lang w:eastAsia="en-US"/>
        </w:rPr>
        <w:t xml:space="preserve">Amennyiben a támogatást igénylő a fenti kapcsolatok bármelyikével egy vagy több másik vállalkozáson </w:t>
      </w:r>
      <w:r w:rsidRPr="00E959D7">
        <w:rPr>
          <w:rFonts w:ascii="Garamond" w:eastAsia="Calibri" w:hAnsi="Garamond" w:cs="Calibri"/>
          <w:b/>
          <w:color w:val="auto"/>
          <w:sz w:val="22"/>
          <w:szCs w:val="22"/>
          <w:bdr w:val="none" w:sz="0" w:space="0" w:color="auto"/>
          <w:lang w:eastAsia="en-US"/>
        </w:rPr>
        <w:t>keresztül</w:t>
      </w:r>
      <w:r w:rsidRPr="00E959D7">
        <w:rPr>
          <w:rFonts w:ascii="Garamond" w:eastAsia="Calibri" w:hAnsi="Garamond" w:cs="Calibri"/>
          <w:color w:val="auto"/>
          <w:sz w:val="22"/>
          <w:szCs w:val="22"/>
          <w:bdr w:val="none" w:sz="0" w:space="0" w:color="auto"/>
          <w:lang w:eastAsia="en-US"/>
        </w:rPr>
        <w:t xml:space="preserve"> rendelkezik, úgy azok vonatkozásában is egy és ugyanazon vállalkozásnak kell tekinteni.</w:t>
      </w: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cs="Calibri"/>
          <w:i/>
          <w:color w:val="auto"/>
          <w:sz w:val="22"/>
          <w:szCs w:val="22"/>
          <w:bdr w:val="none" w:sz="0" w:space="0" w:color="auto"/>
          <w:lang w:eastAsia="en-US"/>
        </w:rPr>
      </w:pPr>
      <w:r w:rsidRPr="00E959D7">
        <w:rPr>
          <w:rFonts w:ascii="Garamond" w:eastAsia="Calibri" w:hAnsi="Garamond" w:cs="Calibri"/>
          <w:i/>
          <w:color w:val="auto"/>
          <w:sz w:val="22"/>
          <w:szCs w:val="22"/>
          <w:bdr w:val="none" w:sz="0" w:space="0" w:color="auto"/>
          <w:lang w:eastAsia="en-US"/>
        </w:rPr>
        <w:t>Milyen esetben kell alkalmazni a támogatást igénylőre az egyesülés, illetve a szétválás szabályait?</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Abban az esetben, ha az egyesülésre vagy szétválásra a folyó pénzügyi évben, valamint az azt megelőző két pénzügyi év során került sor.</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 Az </w:t>
      </w:r>
      <w:r w:rsidRPr="00E959D7">
        <w:rPr>
          <w:rFonts w:ascii="Garamond" w:eastAsia="Calibri" w:hAnsi="Garamond" w:cs="Arial"/>
          <w:b/>
          <w:color w:val="auto"/>
          <w:sz w:val="22"/>
          <w:szCs w:val="22"/>
          <w:bdr w:val="none" w:sz="0" w:space="0" w:color="auto"/>
        </w:rPr>
        <w:t>egyesülés</w:t>
      </w:r>
      <w:r w:rsidRPr="00E959D7">
        <w:rPr>
          <w:rFonts w:ascii="Garamond" w:eastAsia="Calibri" w:hAnsi="Garamond" w:cs="Arial"/>
          <w:color w:val="auto"/>
          <w:sz w:val="22"/>
          <w:szCs w:val="22"/>
          <w:bdr w:val="none" w:sz="0" w:space="0" w:color="auto"/>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Ha egy vállalkozás két vagy több vállalkozásra válik szét, a </w:t>
      </w:r>
      <w:r w:rsidRPr="00E959D7">
        <w:rPr>
          <w:rFonts w:ascii="Garamond" w:eastAsia="Calibri" w:hAnsi="Garamond" w:cs="Arial"/>
          <w:b/>
          <w:color w:val="auto"/>
          <w:sz w:val="22"/>
          <w:szCs w:val="22"/>
          <w:bdr w:val="none" w:sz="0" w:space="0" w:color="auto"/>
        </w:rPr>
        <w:t xml:space="preserve">szétválást </w:t>
      </w:r>
      <w:r w:rsidRPr="00E959D7">
        <w:rPr>
          <w:rFonts w:ascii="Garamond" w:eastAsia="Calibri" w:hAnsi="Garamond" w:cs="Arial"/>
          <w:color w:val="auto"/>
          <w:sz w:val="22"/>
          <w:szCs w:val="22"/>
          <w:bdr w:val="none" w:sz="0" w:space="0" w:color="auto"/>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b/>
          <w:color w:val="auto"/>
          <w:sz w:val="22"/>
          <w:szCs w:val="22"/>
          <w:bdr w:val="none" w:sz="0" w:space="0" w:color="auto"/>
        </w:rPr>
      </w:pPr>
      <w:r w:rsidRPr="00E959D7">
        <w:rPr>
          <w:rFonts w:ascii="Garamond" w:eastAsia="Calibri" w:hAnsi="Garamond" w:cs="Arial"/>
          <w:b/>
          <w:color w:val="auto"/>
          <w:sz w:val="22"/>
          <w:szCs w:val="22"/>
          <w:bdr w:val="none" w:sz="0" w:space="0" w:color="auto"/>
        </w:rPr>
        <w:t>Halmozódás:</w:t>
      </w: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Garamond" w:eastAsia="Calibri" w:hAnsi="Garamond" w:cs="Arial"/>
          <w:color w:val="auto"/>
          <w:sz w:val="22"/>
          <w:szCs w:val="22"/>
          <w:bdr w:val="none" w:sz="0" w:space="0" w:color="auto"/>
        </w:rPr>
      </w:pPr>
    </w:p>
    <w:p w:rsidR="0002583A" w:rsidRPr="00E959D7" w:rsidRDefault="0002583A" w:rsidP="0002583A">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i/>
          <w:color w:val="auto"/>
          <w:sz w:val="22"/>
          <w:szCs w:val="22"/>
          <w:u w:val="single"/>
          <w:bdr w:val="none" w:sz="0" w:space="0" w:color="auto"/>
        </w:rPr>
        <w:t>Például:</w:t>
      </w:r>
      <w:r w:rsidRPr="00E959D7">
        <w:rPr>
          <w:rFonts w:ascii="Garamond" w:eastAsia="Calibri" w:hAnsi="Garamond" w:cs="Arial"/>
          <w:color w:val="auto"/>
          <w:sz w:val="22"/>
          <w:szCs w:val="22"/>
          <w:bdr w:val="none" w:sz="0" w:space="0" w:color="auto"/>
        </w:rPr>
        <w:t xml:space="preserve"> </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1416"/>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Ha egy </w:t>
      </w:r>
      <w:r w:rsidRPr="00E959D7">
        <w:rPr>
          <w:rFonts w:ascii="Garamond" w:eastAsia="Calibri" w:hAnsi="Garamond" w:cs="Arial"/>
          <w:i/>
          <w:color w:val="auto"/>
          <w:sz w:val="22"/>
          <w:szCs w:val="22"/>
          <w:bdr w:val="none" w:sz="0" w:space="0" w:color="auto"/>
        </w:rPr>
        <w:t>kizárólag</w:t>
      </w:r>
      <w:r w:rsidRPr="00E959D7">
        <w:rPr>
          <w:rFonts w:ascii="Garamond" w:eastAsia="Calibri" w:hAnsi="Garamond" w:cs="Arial"/>
          <w:color w:val="auto"/>
          <w:sz w:val="22"/>
          <w:szCs w:val="22"/>
          <w:bdr w:val="none" w:sz="0" w:space="0" w:color="auto"/>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E959D7">
        <w:rPr>
          <w:rFonts w:ascii="Garamond" w:eastAsia="Calibri" w:hAnsi="Garamond" w:cs="Arial"/>
          <w:i/>
          <w:color w:val="auto"/>
          <w:sz w:val="22"/>
          <w:szCs w:val="22"/>
          <w:bdr w:val="none" w:sz="0" w:space="0" w:color="auto"/>
        </w:rPr>
        <w:t>egyéb</w:t>
      </w:r>
      <w:r w:rsidRPr="00E959D7">
        <w:rPr>
          <w:rFonts w:ascii="Garamond" w:eastAsia="Calibri" w:hAnsi="Garamond" w:cs="Arial"/>
          <w:color w:val="auto"/>
          <w:sz w:val="22"/>
          <w:szCs w:val="22"/>
          <w:bdr w:val="none" w:sz="0" w:space="0" w:color="auto"/>
        </w:rPr>
        <w:t xml:space="preserve"> tevékenységet (pl. könyvvizsgálat) is végez, úgy rá, már az </w:t>
      </w:r>
      <w:r w:rsidRPr="00E959D7">
        <w:rPr>
          <w:rFonts w:ascii="Garamond" w:eastAsia="Calibri" w:hAnsi="Garamond" w:cs="Arial"/>
          <w:i/>
          <w:color w:val="auto"/>
          <w:sz w:val="22"/>
          <w:szCs w:val="22"/>
          <w:bdr w:val="none" w:sz="0" w:space="0" w:color="auto"/>
        </w:rPr>
        <w:t>1407/2013/EU</w:t>
      </w:r>
      <w:r w:rsidRPr="00E959D7">
        <w:rPr>
          <w:rFonts w:ascii="Garamond" w:eastAsia="Calibri" w:hAnsi="Garamond" w:cs="Arial"/>
          <w:color w:val="auto"/>
          <w:sz w:val="22"/>
          <w:szCs w:val="22"/>
          <w:bdr w:val="none" w:sz="0" w:space="0" w:color="auto"/>
        </w:rPr>
        <w:t xml:space="preserve"> bizottsági rendelet 200.000 eurós értékhatára vonatkozik, így részére 185.000 euró de minimis támogatás nyújtható. </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720"/>
        <w:contextualSpacing/>
        <w:jc w:val="both"/>
        <w:rPr>
          <w:rFonts w:ascii="Garamond" w:eastAsia="Calibri" w:hAnsi="Garamond" w:cs="Arial"/>
          <w:color w:val="auto"/>
          <w:sz w:val="22"/>
          <w:szCs w:val="22"/>
          <w:bdr w:val="none" w:sz="0" w:space="0" w:color="auto"/>
        </w:rPr>
      </w:pP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sz w:val="22"/>
          <w:szCs w:val="22"/>
          <w:bdr w:val="none" w:sz="0" w:space="0" w:color="auto"/>
        </w:rPr>
      </w:pPr>
    </w:p>
    <w:p w:rsidR="0002583A" w:rsidRPr="00E959D7" w:rsidRDefault="0002583A" w:rsidP="0002583A">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ind w:left="360"/>
        <w:contextualSpacing/>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00" w:line="300" w:lineRule="atLeast"/>
        <w:jc w:val="both"/>
        <w:rPr>
          <w:rFonts w:ascii="Garamond" w:eastAsia="Calibri" w:hAnsi="Garamond" w:cs="Arial"/>
          <w:color w:val="auto"/>
          <w:sz w:val="22"/>
          <w:szCs w:val="22"/>
          <w:bdr w:val="none" w:sz="0" w:space="0" w:color="auto"/>
        </w:rPr>
      </w:pPr>
      <w:r w:rsidRPr="00E959D7">
        <w:rPr>
          <w:rFonts w:ascii="Garamond" w:eastAsia="Calibri" w:hAnsi="Garamond" w:cs="Arial"/>
          <w:color w:val="auto"/>
          <w:sz w:val="22"/>
          <w:szCs w:val="22"/>
          <w:bdr w:val="none" w:sz="0" w:space="0" w:color="auto"/>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E959D7">
        <w:rPr>
          <w:rFonts w:ascii="Garamond" w:eastAsia="Calibri" w:hAnsi="Garamond" w:cs="Arial"/>
          <w:color w:val="auto"/>
          <w:sz w:val="22"/>
          <w:szCs w:val="22"/>
          <w:bdr w:val="none" w:sz="0" w:space="0" w:color="auto"/>
          <w:vertAlign w:val="superscript"/>
        </w:rPr>
        <w:footnoteReference w:id="13"/>
      </w:r>
      <w:r w:rsidRPr="00E959D7">
        <w:rPr>
          <w:rFonts w:ascii="Garamond" w:eastAsia="Calibri" w:hAnsi="Garamond" w:cs="Arial"/>
          <w:color w:val="auto"/>
          <w:sz w:val="22"/>
          <w:szCs w:val="22"/>
          <w:bdr w:val="none" w:sz="0" w:space="0" w:color="auto"/>
        </w:rPr>
        <w:t>.</w:t>
      </w:r>
    </w:p>
    <w:p w:rsidR="0002583A" w:rsidRPr="00E959D7" w:rsidRDefault="0002583A" w:rsidP="00025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color w:val="auto"/>
          <w:sz w:val="22"/>
          <w:szCs w:val="22"/>
          <w:bdr w:val="none" w:sz="0" w:space="0" w:color="auto"/>
          <w:lang w:eastAsia="en-US"/>
        </w:rPr>
      </w:pPr>
      <w:r w:rsidRPr="00E959D7">
        <w:rPr>
          <w:rFonts w:ascii="Garamond" w:eastAsia="Calibri" w:hAnsi="Garamond" w:cs="Arial"/>
          <w:color w:val="auto"/>
          <w:sz w:val="22"/>
          <w:szCs w:val="22"/>
          <w:bdr w:val="none" w:sz="0" w:space="0" w:color="auto"/>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310D45" w:rsidRDefault="00310D45"/>
    <w:sectPr w:rsidR="00310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0F4" w:rsidRDefault="00DA70F4" w:rsidP="0002583A">
      <w:r>
        <w:separator/>
      </w:r>
    </w:p>
  </w:endnote>
  <w:endnote w:type="continuationSeparator" w:id="0">
    <w:p w:rsidR="00DA70F4" w:rsidRDefault="00DA70F4" w:rsidP="0002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1604"/>
      <w:docPartObj>
        <w:docPartGallery w:val="Page Numbers (Bottom of Page)"/>
        <w:docPartUnique/>
      </w:docPartObj>
    </w:sdtPr>
    <w:sdtContent>
      <w:p w:rsidR="0002583A" w:rsidRDefault="0002583A">
        <w:pPr>
          <w:pStyle w:val="llb"/>
          <w:jc w:val="right"/>
        </w:pPr>
        <w:r>
          <w:fldChar w:fldCharType="begin"/>
        </w:r>
        <w:r>
          <w:instrText>PAGE   \* MERGEFORMAT</w:instrText>
        </w:r>
        <w:r>
          <w:fldChar w:fldCharType="separate"/>
        </w:r>
        <w:r w:rsidR="002E4433">
          <w:rPr>
            <w:noProof/>
          </w:rPr>
          <w:t>1</w:t>
        </w:r>
        <w:r>
          <w:fldChar w:fldCharType="end"/>
        </w:r>
      </w:p>
    </w:sdtContent>
  </w:sdt>
  <w:p w:rsidR="0002583A" w:rsidRDefault="0002583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0F4" w:rsidRDefault="00DA70F4" w:rsidP="0002583A">
      <w:r>
        <w:separator/>
      </w:r>
    </w:p>
  </w:footnote>
  <w:footnote w:type="continuationSeparator" w:id="0">
    <w:p w:rsidR="00DA70F4" w:rsidRDefault="00DA70F4" w:rsidP="0002583A">
      <w:r>
        <w:continuationSeparator/>
      </w:r>
    </w:p>
  </w:footnote>
  <w:footnote w:id="1">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02583A" w:rsidRPr="00EF00B1" w:rsidRDefault="0002583A" w:rsidP="0002583A">
      <w:pPr>
        <w:pStyle w:val="Lbjegyzetszveg"/>
        <w:jc w:val="both"/>
        <w:rPr>
          <w:rFonts w:ascii="Calibri" w:hAnsi="Calibri" w:cs="Calibri"/>
          <w:sz w:val="18"/>
          <w:szCs w:val="18"/>
        </w:rPr>
      </w:pPr>
    </w:p>
    <w:p w:rsidR="0002583A" w:rsidRDefault="0002583A" w:rsidP="0002583A">
      <w:pPr>
        <w:pStyle w:val="Lbjegyzetszveg"/>
        <w:jc w:val="both"/>
      </w:pPr>
      <w:r w:rsidRPr="00EF00B1">
        <w:rPr>
          <w:rFonts w:ascii="Calibri" w:hAnsi="Calibri" w:cs="Calibri"/>
          <w:sz w:val="18"/>
          <w:szCs w:val="18"/>
        </w:rPr>
        <w:t>Ha egy vállalkozás két vagy több vállalkozásra válik szét, a szétválást megelőzően nyújttt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4">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02583A" w:rsidRPr="00EF00B1" w:rsidRDefault="0002583A" w:rsidP="0002583A">
      <w:pPr>
        <w:pStyle w:val="Lbjegyzetszveg"/>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Amennyiben a támogatásról még nem született döntés.</w:t>
      </w:r>
    </w:p>
  </w:footnote>
  <w:footnote w:id="7">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2. melléklete alapján.</w:t>
      </w:r>
    </w:p>
  </w:footnote>
  <w:footnote w:id="8">
    <w:p w:rsidR="0002583A" w:rsidRPr="00EF00B1" w:rsidRDefault="0002583A" w:rsidP="0002583A">
      <w:pPr>
        <w:pStyle w:val="Lbjegyzetszveg"/>
        <w:jc w:val="both"/>
        <w:rPr>
          <w:rFonts w:ascii="Calibri" w:hAnsi="Calibri" w:cs="Calibri"/>
          <w:sz w:val="18"/>
          <w:szCs w:val="18"/>
        </w:rPr>
      </w:pPr>
      <w:r w:rsidRPr="00EF00B1">
        <w:rPr>
          <w:rStyle w:val="Lbjegyzet-hivatkozs"/>
          <w:rFonts w:ascii="Calibri" w:hAnsi="Calibri" w:cs="Calibri"/>
          <w:sz w:val="18"/>
          <w:szCs w:val="18"/>
        </w:rPr>
        <w:footnoteRef/>
      </w:r>
      <w:r w:rsidRPr="00EF00B1">
        <w:rPr>
          <w:rFonts w:ascii="Calibri" w:hAnsi="Calibri" w:cs="Calibri"/>
          <w:sz w:val="18"/>
          <w:szCs w:val="18"/>
        </w:rPr>
        <w:t xml:space="preserve"> A 37/2011. (III. 22.) Korm. rendelet 35. §-a alapján kell kiszámítani:</w:t>
      </w:r>
    </w:p>
    <w:p w:rsidR="0002583A" w:rsidRDefault="0002583A" w:rsidP="0002583A">
      <w:pPr>
        <w:pStyle w:val="Lbjegyzetszveg"/>
        <w:jc w:val="both"/>
      </w:pPr>
      <w:r w:rsidRPr="00EF00B1">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02583A" w:rsidRDefault="0002583A" w:rsidP="0002583A">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02583A" w:rsidRDefault="0002583A" w:rsidP="0002583A">
      <w:pPr>
        <w:pStyle w:val="Lbjegyzetszveg"/>
      </w:pPr>
      <w:r>
        <w:rPr>
          <w:rStyle w:val="Lbjegyzet-hivatkozs"/>
        </w:rPr>
        <w:footnoteRef/>
      </w:r>
      <w:r>
        <w:t xml:space="preserve"> 1407/2013/EU bizottsági rendelet </w:t>
      </w:r>
      <w:r w:rsidRPr="00F82A82">
        <w:rPr>
          <w:lang w:val="sk-SK"/>
        </w:rPr>
        <w:t>2. cikk (2) bekezdés</w:t>
      </w:r>
    </w:p>
  </w:footnote>
  <w:footnote w:id="11">
    <w:p w:rsidR="0002583A" w:rsidRDefault="0002583A" w:rsidP="0002583A">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rsidR="0002583A" w:rsidRDefault="0002583A" w:rsidP="0002583A">
      <w:pPr>
        <w:pStyle w:val="Lbjegyzetszveg"/>
      </w:pPr>
      <w:r>
        <w:rPr>
          <w:rStyle w:val="Lbjegyzet-hivatkozs"/>
        </w:rPr>
        <w:footnoteRef/>
      </w:r>
      <w:r>
        <w:t xml:space="preserve"> </w:t>
      </w:r>
      <w:r w:rsidRPr="00F82A82">
        <w:rPr>
          <w:lang w:val="sk-SK"/>
        </w:rPr>
        <w:t>1407/2013/EU bizottsági rendelet 3. cikkének (8) és (9) bekezdés</w:t>
      </w:r>
    </w:p>
  </w:footnote>
  <w:footnote w:id="13">
    <w:p w:rsidR="0002583A" w:rsidRDefault="0002583A" w:rsidP="0002583A">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C50CB"/>
    <w:multiLevelType w:val="multilevel"/>
    <w:tmpl w:val="CBECB13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981B42"/>
    <w:multiLevelType w:val="multilevel"/>
    <w:tmpl w:val="E54C3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2"/>
        <w:szCs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4E44246"/>
    <w:multiLevelType w:val="hybridMultilevel"/>
    <w:tmpl w:val="B6E61558"/>
    <w:lvl w:ilvl="0" w:tplc="4D96CB3E">
      <w:start w:val="1"/>
      <w:numFmt w:val="lowerLetter"/>
      <w:lvlText w:val="%1."/>
      <w:lvlJc w:val="left"/>
      <w:pPr>
        <w:ind w:left="2160" w:hanging="360"/>
      </w:pPr>
      <w:rPr>
        <w:b w:val="0"/>
        <w:bCs w:val="0"/>
        <w:i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3"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A103F47"/>
    <w:multiLevelType w:val="hybridMultilevel"/>
    <w:tmpl w:val="6BBC9E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7625321B"/>
    <w:multiLevelType w:val="hybridMultilevel"/>
    <w:tmpl w:val="1526C740"/>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2"/>
    <w:lvlOverride w:ilvl="0">
      <w:startOverride w:val="1"/>
    </w:lvlOverride>
  </w:num>
  <w:num w:numId="4">
    <w:abstractNumId w:val="2"/>
    <w:lvlOverride w:ilvl="0">
      <w:startOverride w:val="1"/>
    </w:lvlOverride>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3A"/>
    <w:rsid w:val="0002583A"/>
    <w:rsid w:val="002E4433"/>
    <w:rsid w:val="00310D45"/>
    <w:rsid w:val="00DA70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90FBB8-662E-428A-A136-27C8E9E3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02583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hu-HU"/>
    </w:rPr>
  </w:style>
  <w:style w:type="paragraph" w:styleId="Cmsor1">
    <w:name w:val="heading 1"/>
    <w:basedOn w:val="Norml"/>
    <w:next w:val="Norml"/>
    <w:link w:val="Cmsor1Char"/>
    <w:uiPriority w:val="9"/>
    <w:qFormat/>
    <w:rsid w:val="000258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02583A"/>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60"/>
      <w:contextualSpacing/>
      <w:jc w:val="both"/>
      <w:outlineLvl w:val="1"/>
    </w:pPr>
    <w:rPr>
      <w:rFonts w:ascii="Book Antiqua" w:hAnsi="Book Antiqua"/>
      <w:b/>
      <w:color w:val="auto"/>
      <w:sz w:val="22"/>
      <w:szCs w:val="22"/>
    </w:rPr>
  </w:style>
  <w:style w:type="paragraph" w:styleId="Cmsor3">
    <w:name w:val="heading 3"/>
    <w:basedOn w:val="Norml"/>
    <w:next w:val="Norml"/>
    <w:link w:val="Cmsor3Char"/>
    <w:uiPriority w:val="9"/>
    <w:semiHidden/>
    <w:unhideWhenUsed/>
    <w:qFormat/>
    <w:rsid w:val="0002583A"/>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2583A"/>
    <w:rPr>
      <w:rFonts w:asciiTheme="majorHAnsi" w:eastAsiaTheme="majorEastAsia" w:hAnsiTheme="majorHAnsi" w:cstheme="majorBidi"/>
      <w:color w:val="2E74B5" w:themeColor="accent1" w:themeShade="BF"/>
      <w:sz w:val="32"/>
      <w:szCs w:val="32"/>
      <w:u w:color="000000"/>
      <w:bdr w:val="nil"/>
      <w:lang w:eastAsia="hu-HU"/>
    </w:rPr>
  </w:style>
  <w:style w:type="character" w:customStyle="1" w:styleId="Cmsor2Char">
    <w:name w:val="Címsor 2 Char"/>
    <w:basedOn w:val="Bekezdsalapbettpusa"/>
    <w:link w:val="Cmsor2"/>
    <w:rsid w:val="0002583A"/>
    <w:rPr>
      <w:rFonts w:ascii="Book Antiqua" w:eastAsia="Times New Roman" w:hAnsi="Book Antiqua" w:cs="Times New Roman"/>
      <w:b/>
      <w:u w:color="000000"/>
      <w:bdr w:val="nil"/>
      <w:lang w:eastAsia="hu-HU"/>
    </w:rPr>
  </w:style>
  <w:style w:type="character" w:customStyle="1" w:styleId="Cmsor3Char">
    <w:name w:val="Címsor 3 Char"/>
    <w:basedOn w:val="Bekezdsalapbettpusa"/>
    <w:link w:val="Cmsor3"/>
    <w:uiPriority w:val="9"/>
    <w:semiHidden/>
    <w:rsid w:val="0002583A"/>
    <w:rPr>
      <w:rFonts w:asciiTheme="majorHAnsi" w:eastAsiaTheme="majorEastAsia" w:hAnsiTheme="majorHAnsi" w:cstheme="majorBidi"/>
      <w:color w:val="1F4D78" w:themeColor="accent1" w:themeShade="7F"/>
      <w:sz w:val="24"/>
      <w:szCs w:val="24"/>
      <w:u w:color="000000"/>
      <w:bdr w:val="nil"/>
      <w:lang w:eastAsia="hu-HU"/>
    </w:rPr>
  </w:style>
  <w:style w:type="paragraph" w:styleId="llb">
    <w:name w:val="footer"/>
    <w:link w:val="llbChar"/>
    <w:rsid w:val="0002583A"/>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hu-HU"/>
    </w:rPr>
  </w:style>
  <w:style w:type="character" w:customStyle="1" w:styleId="llbChar">
    <w:name w:val="Élőláb Char"/>
    <w:basedOn w:val="Bekezdsalapbettpusa"/>
    <w:link w:val="llb"/>
    <w:rsid w:val="0002583A"/>
    <w:rPr>
      <w:rFonts w:ascii="Times New Roman" w:eastAsia="Arial Unicode MS" w:hAnsi="Times New Roman" w:cs="Arial Unicode MS"/>
      <w:color w:val="000000"/>
      <w:sz w:val="24"/>
      <w:szCs w:val="24"/>
      <w:u w:color="000000"/>
      <w:bdr w:val="nil"/>
      <w:lang w:eastAsia="hu-HU"/>
    </w:rPr>
  </w:style>
  <w:style w:type="paragraph" w:customStyle="1" w:styleId="SzvegtrzsA">
    <w:name w:val="Szövegtörzs A"/>
    <w:rsid w:val="0002583A"/>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32"/>
      <w:szCs w:val="32"/>
      <w:u w:color="000000"/>
      <w:bdr w:val="nil"/>
      <w:lang w:eastAsia="hu-HU"/>
    </w:rPr>
  </w:style>
  <w:style w:type="paragraph" w:styleId="Listaszerbekezds">
    <w:name w:val="List Paragraph"/>
    <w:link w:val="ListaszerbekezdsChar"/>
    <w:uiPriority w:val="34"/>
    <w:qFormat/>
    <w:rsid w:val="0002583A"/>
    <w:pPr>
      <w:pBdr>
        <w:top w:val="nil"/>
        <w:left w:val="nil"/>
        <w:bottom w:val="nil"/>
        <w:right w:val="nil"/>
        <w:between w:val="nil"/>
        <w:bar w:val="nil"/>
      </w:pBdr>
      <w:spacing w:after="0" w:line="240" w:lineRule="auto"/>
      <w:ind w:left="720"/>
    </w:pPr>
    <w:rPr>
      <w:rFonts w:ascii="Microsoft Sans Serif" w:eastAsia="Arial Unicode MS" w:hAnsi="Microsoft Sans Serif" w:cs="Arial Unicode MS"/>
      <w:color w:val="000000"/>
      <w:sz w:val="24"/>
      <w:szCs w:val="24"/>
      <w:u w:color="000000"/>
      <w:bdr w:val="nil"/>
      <w:lang w:eastAsia="hu-HU"/>
    </w:rPr>
  </w:style>
  <w:style w:type="character" w:customStyle="1" w:styleId="ListaszerbekezdsChar">
    <w:name w:val="Listaszerű bekezdés Char"/>
    <w:link w:val="Listaszerbekezds"/>
    <w:uiPriority w:val="34"/>
    <w:locked/>
    <w:rsid w:val="0002583A"/>
    <w:rPr>
      <w:rFonts w:ascii="Microsoft Sans Serif" w:eastAsia="Arial Unicode MS" w:hAnsi="Microsoft Sans Serif" w:cs="Arial Unicode MS"/>
      <w:color w:val="000000"/>
      <w:sz w:val="24"/>
      <w:szCs w:val="24"/>
      <w:u w:color="000000"/>
      <w:bdr w:val="nil"/>
      <w:lang w:eastAsia="hu-HU"/>
    </w:rPr>
  </w:style>
  <w:style w:type="paragraph" w:styleId="Lbjegyzetszveg">
    <w:name w:val="footnote text"/>
    <w:basedOn w:val="Norml"/>
    <w:link w:val="LbjegyzetszvegChar"/>
    <w:uiPriority w:val="99"/>
    <w:semiHidden/>
    <w:rsid w:val="0002583A"/>
    <w:pPr>
      <w:pBdr>
        <w:top w:val="none" w:sz="0" w:space="0" w:color="auto"/>
        <w:left w:val="none" w:sz="0" w:space="0" w:color="auto"/>
        <w:bottom w:val="none" w:sz="0" w:space="0" w:color="auto"/>
        <w:right w:val="none" w:sz="0" w:space="0" w:color="auto"/>
        <w:between w:val="none" w:sz="0" w:space="0" w:color="auto"/>
        <w:bar w:val="none" w:sz="0" w:color="auto"/>
      </w:pBdr>
    </w:pPr>
    <w:rPr>
      <w:color w:val="auto"/>
      <w:sz w:val="20"/>
      <w:szCs w:val="20"/>
      <w:bdr w:val="none" w:sz="0" w:space="0" w:color="auto"/>
    </w:rPr>
  </w:style>
  <w:style w:type="character" w:customStyle="1" w:styleId="LbjegyzetszvegChar">
    <w:name w:val="Lábjegyzetszöveg Char"/>
    <w:basedOn w:val="Bekezdsalapbettpusa"/>
    <w:link w:val="Lbjegyzetszveg"/>
    <w:uiPriority w:val="99"/>
    <w:semiHidden/>
    <w:rsid w:val="0002583A"/>
    <w:rPr>
      <w:rFonts w:ascii="Times New Roman" w:eastAsia="Times New Roman" w:hAnsi="Times New Roman" w:cs="Times New Roman"/>
      <w:sz w:val="20"/>
      <w:szCs w:val="20"/>
      <w:u w:color="000000"/>
      <w:lang w:eastAsia="hu-HU"/>
    </w:rPr>
  </w:style>
  <w:style w:type="character" w:styleId="Lbjegyzet-hivatkozs">
    <w:name w:val="footnote reference"/>
    <w:aliases w:val="Footnote symbol,Char Char,Char1,Char"/>
    <w:uiPriority w:val="99"/>
    <w:semiHidden/>
    <w:rsid w:val="0002583A"/>
    <w:rPr>
      <w:vertAlign w:val="superscript"/>
    </w:rPr>
  </w:style>
  <w:style w:type="paragraph" w:styleId="lfej">
    <w:name w:val="header"/>
    <w:basedOn w:val="Norml"/>
    <w:link w:val="lfejChar"/>
    <w:uiPriority w:val="99"/>
    <w:unhideWhenUsed/>
    <w:rsid w:val="002E4433"/>
    <w:pPr>
      <w:tabs>
        <w:tab w:val="center" w:pos="4536"/>
        <w:tab w:val="right" w:pos="9072"/>
      </w:tabs>
    </w:pPr>
  </w:style>
  <w:style w:type="character" w:customStyle="1" w:styleId="lfejChar">
    <w:name w:val="Élőfej Char"/>
    <w:basedOn w:val="Bekezdsalapbettpusa"/>
    <w:link w:val="lfej"/>
    <w:uiPriority w:val="99"/>
    <w:rsid w:val="002E4433"/>
    <w:rPr>
      <w:rFonts w:ascii="Times New Roman" w:eastAsia="Times New Roman" w:hAnsi="Times New Roman" w:cs="Times New Roman"/>
      <w:color w:val="000000"/>
      <w:sz w:val="24"/>
      <w:szCs w:val="24"/>
      <w:u w:color="000000"/>
      <w:bdr w:val="nil"/>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1395</Words>
  <Characters>9631</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Kontháné Kovács Mária</dc:creator>
  <cp:keywords/>
  <dc:description/>
  <cp:lastModifiedBy>Kontháné Kovács Mária</cp:lastModifiedBy>
  <cp:revision>1</cp:revision>
  <dcterms:created xsi:type="dcterms:W3CDTF">2020-04-16T09:27:00Z</dcterms:created>
  <dcterms:modified xsi:type="dcterms:W3CDTF">2020-04-16T10:30:00Z</dcterms:modified>
</cp:coreProperties>
</file>